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312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SEC Form 3</w:t>
            </w: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8"/>
        </w:trPr>
        <w:tc>
          <w:tcPr>
            <w:tcW w:w="2000" w:type="dxa"/>
            <w:vAlign w:val="bottom"/>
          </w:tcPr>
          <w:p>
            <w:pPr>
              <w:ind w:left="580"/>
              <w:spacing w:after="0" w:line="28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b w:val="1"/>
                <w:bCs w:val="1"/>
                <w:color w:val="auto"/>
              </w:rPr>
              <w:t>FORM 3</w:t>
            </w:r>
          </w:p>
        </w:tc>
        <w:tc>
          <w:tcPr>
            <w:tcW w:w="6820" w:type="dxa"/>
            <w:vAlign w:val="bottom"/>
          </w:tcPr>
          <w:p>
            <w:pPr>
              <w:jc w:val="center"/>
              <w:ind w:left="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UNITED STATES SECURITIES AND EXCHANGE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808080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220"/>
              <w:spacing w:after="0" w:line="19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OMB Number: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right"/>
              <w:ind w:right="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3235-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jc w:val="right"/>
              <w:ind w:right="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0104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7"/>
              <w:spacing w:after="0" w:line="27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INITIAL STATEMENT OF BENEFICIAL OWNERSHIP OF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7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jc w:val="center"/>
              <w:ind w:left="47"/>
              <w:spacing w:after="0" w:line="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80"/>
              <w:spacing w:after="0" w:line="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color w:val="auto"/>
              </w:rPr>
              <w:t>response:</w:t>
            </w:r>
          </w:p>
        </w:tc>
        <w:tc>
          <w:tcPr>
            <w:tcW w:w="720" w:type="dxa"/>
            <w:vAlign w:val="bottom"/>
          </w:tcPr>
          <w:p>
            <w:pPr>
              <w:jc w:val="right"/>
              <w:ind w:right="26"/>
              <w:spacing w:after="0" w:line="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hours per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5590540</wp:posOffset>
            </wp:positionH>
            <wp:positionV relativeFrom="paragraph">
              <wp:posOffset>-761365</wp:posOffset>
            </wp:positionV>
            <wp:extent cx="1330960" cy="93091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0960" cy="9309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01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Filed pursuant to Section 16(a) of the Securities Exchange Act of 1934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-12065</wp:posOffset>
            </wp:positionH>
            <wp:positionV relativeFrom="paragraph">
              <wp:posOffset>20955</wp:posOffset>
            </wp:positionV>
            <wp:extent cx="6972300" cy="440880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72300" cy="44088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0940"/>
          </w:cols>
          <w:pgMar w:left="480" w:top="230" w:right="479" w:bottom="1440" w:gutter="0" w:footer="0" w:header="0"/>
        </w:sectPr>
      </w:pPr>
    </w:p>
    <w:p>
      <w:pPr>
        <w:spacing w:after="0" w:line="36" w:lineRule="exact"/>
        <w:rPr>
          <w:sz w:val="24"/>
          <w:szCs w:val="24"/>
          <w:color w:val="auto"/>
        </w:rPr>
      </w:pPr>
    </w:p>
    <w:tbl>
      <w:tblPr>
        <w:tblLayout w:type="fixed"/>
        <w:tblInd w:w="1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87"/>
        </w:trPr>
        <w:tc>
          <w:tcPr>
            <w:tcW w:w="31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5"/>
                <w:szCs w:val="25"/>
                <w:color w:val="auto"/>
                <w:vertAlign w:val="superscript"/>
              </w:rPr>
              <w:t>*</w:t>
            </w:r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2. Date of Event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60" w:type="dxa"/>
            <w:vAlign w:val="bottom"/>
            <w:gridSpan w:val="2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4"/>
                <w:szCs w:val="24"/>
                <w:color w:val="0000EE"/>
              </w:rPr>
            </w:pPr>
            <w:hyperlink r:id="rId10">
              <w:r>
                <w:rPr>
                  <w:rFonts w:ascii="Times New Roman" w:cs="Times New Roman" w:eastAsia="Times New Roman" w:hAnsi="Times New Roman"/>
                  <w:sz w:val="24"/>
                  <w:szCs w:val="24"/>
                  <w:color w:val="0000EE"/>
                </w:rPr>
                <w:t>Cheng Lufeng</w:t>
              </w:r>
            </w:hyperlink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  <w:w w:val="97"/>
              </w:rPr>
              <w:t>Requiring Statement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 w:line="19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03/31/2026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0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 xml:space="preserve">3. Issuer Name </w:t>
      </w:r>
      <w:r>
        <w:rPr>
          <w:rFonts w:ascii="Arial" w:cs="Arial" w:eastAsia="Arial" w:hAnsi="Arial"/>
          <w:sz w:val="15"/>
          <w:szCs w:val="15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5"/>
          <w:szCs w:val="15"/>
          <w:color w:val="auto"/>
        </w:rPr>
        <w:t xml:space="preserve"> Ticker or Trading Symbol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4"/>
          <w:szCs w:val="24"/>
          <w:color w:val="0000EE"/>
        </w:rPr>
      </w:pPr>
      <w:hyperlink r:id="rId11">
        <w:r>
          <w:rPr>
            <w:rFonts w:ascii="Times New Roman" w:cs="Times New Roman" w:eastAsia="Times New Roman" w:hAnsi="Times New Roman"/>
            <w:sz w:val="24"/>
            <w:szCs w:val="24"/>
            <w:u w:val="single" w:color="auto"/>
            <w:color w:val="0000EE"/>
          </w:rPr>
          <w:t>Leishen Energy Holding Co., Ltd.</w:t>
        </w:r>
        <w:r>
          <w:rPr>
            <w:rFonts w:ascii="Times New Roman" w:cs="Times New Roman" w:eastAsia="Times New Roman" w:hAnsi="Times New Roman"/>
            <w:sz w:val="24"/>
            <w:szCs w:val="24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4"/>
          <w:szCs w:val="24"/>
          <w:color w:val="000000"/>
        </w:rPr>
        <w:t>[</w:t>
      </w:r>
      <w:r>
        <w:rPr>
          <w:rFonts w:ascii="Times New Roman" w:cs="Times New Roman" w:eastAsia="Times New Roman" w:hAnsi="Times New Roman"/>
          <w:sz w:val="24"/>
          <w:szCs w:val="24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9"/>
          <w:szCs w:val="19"/>
          <w:color w:val="0000FF"/>
        </w:rPr>
        <w:t>LSE</w:t>
      </w:r>
      <w:r>
        <w:rPr>
          <w:rFonts w:ascii="Times New Roman" w:cs="Times New Roman" w:eastAsia="Times New Roman" w:hAnsi="Times New Roman"/>
          <w:sz w:val="24"/>
          <w:szCs w:val="24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000000"/>
        </w:rPr>
        <w:t>]</w:t>
      </w:r>
    </w:p>
    <w:p>
      <w:pPr>
        <w:spacing w:after="0" w:line="38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4720" w:space="280"/>
            <w:col w:w="5940"/>
          </w:cols>
          <w:pgMar w:left="480" w:top="230" w:right="479" w:bottom="1440" w:gutter="0" w:footer="0" w:header="0"/>
          <w:type w:val="continuous"/>
        </w:sectPr>
      </w:pP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140"/>
        <w:spacing w:after="0"/>
        <w:tabs>
          <w:tab w:leader="none" w:pos="1140" w:val="left"/>
          <w:tab w:leader="none" w:pos="21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(Middle)</w:t>
      </w:r>
    </w:p>
    <w:p>
      <w:pPr>
        <w:spacing w:after="0" w:line="82" w:lineRule="exact"/>
        <w:rPr>
          <w:sz w:val="24"/>
          <w:szCs w:val="24"/>
          <w:color w:val="auto"/>
        </w:rPr>
      </w:pPr>
    </w:p>
    <w:p>
      <w:pPr>
        <w:ind w:left="1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>73101, AOJING FLOWER COURT,</w:t>
      </w:r>
    </w:p>
    <w:p>
      <w:pPr>
        <w:spacing w:after="0" w:line="93" w:lineRule="exact"/>
        <w:rPr>
          <w:sz w:val="24"/>
          <w:szCs w:val="24"/>
          <w:color w:val="auto"/>
        </w:rPr>
      </w:pPr>
    </w:p>
    <w:p>
      <w:pPr>
        <w:ind w:left="140" w:right="1337"/>
        <w:spacing w:after="0" w:line="275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0000FF"/>
        </w:rPr>
        <w:t>NO.8 HUAHUGOU, CHAOYANG DISTRICT</w:t>
      </w:r>
    </w:p>
    <w:p>
      <w:pPr>
        <w:spacing w:after="0" w:line="269" w:lineRule="exact"/>
        <w:rPr>
          <w:sz w:val="24"/>
          <w:szCs w:val="24"/>
          <w:color w:val="auto"/>
        </w:rPr>
      </w:pPr>
    </w:p>
    <w:tbl>
      <w:tblPr>
        <w:tblLayout w:type="fixed"/>
        <w:tblInd w:w="1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8"/>
        </w:trPr>
        <w:tc>
          <w:tcPr>
            <w:tcW w:w="1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(Street)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265"/>
        </w:trPr>
        <w:tc>
          <w:tcPr>
            <w:tcW w:w="1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BEIJING   F4</w:t>
            </w:r>
          </w:p>
        </w:tc>
        <w:tc>
          <w:tcPr>
            <w:tcW w:w="10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100101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3" w:right="300" w:hanging="3"/>
        <w:spacing w:after="0" w:line="239" w:lineRule="auto"/>
        <w:tabs>
          <w:tab w:leader="none" w:pos="170" w:val="left"/>
        </w:tabs>
        <w:numPr>
          <w:ilvl w:val="0"/>
          <w:numId w:val="1"/>
        </w:numPr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Relationship of Reporting Person(s) to Issuer</w:t>
      </w:r>
    </w:p>
    <w:p>
      <w:pPr>
        <w:ind w:left="3"/>
        <w:spacing w:after="0"/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(Check all applicable)</w:t>
      </w:r>
    </w:p>
    <w:p>
      <w:pPr>
        <w:spacing w:after="0" w:line="54" w:lineRule="exact"/>
        <w:rPr>
          <w:sz w:val="24"/>
          <w:szCs w:val="24"/>
          <w:color w:val="auto"/>
        </w:rPr>
      </w:pPr>
    </w:p>
    <w:p>
      <w:pPr>
        <w:ind w:left="523"/>
        <w:spacing w:after="0"/>
        <w:tabs>
          <w:tab w:leader="none" w:pos="204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10% Owner</w:t>
      </w:r>
    </w:p>
    <w:p>
      <w:pPr>
        <w:spacing w:after="0" w:line="83" w:lineRule="exact"/>
        <w:rPr>
          <w:sz w:val="24"/>
          <w:szCs w:val="24"/>
          <w:color w:val="auto"/>
        </w:rPr>
      </w:pPr>
    </w:p>
    <w:p>
      <w:pPr>
        <w:jc w:val="right"/>
        <w:spacing w:after="0"/>
        <w:tabs>
          <w:tab w:leader="none" w:pos="9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Officer (give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Other (specify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523"/>
        <w:spacing w:after="0"/>
        <w:tabs>
          <w:tab w:leader="none" w:pos="204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title 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below)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-9" w:right="440" w:firstLine="9"/>
        <w:spacing w:after="0" w:line="264" w:lineRule="auto"/>
        <w:tabs>
          <w:tab w:leader="none" w:pos="158" w:val="left"/>
        </w:tabs>
        <w:numPr>
          <w:ilvl w:val="0"/>
          <w:numId w:val="2"/>
        </w:numPr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If Amendment, Date of Original Filed (Month/Day/Year)</w:t>
      </w:r>
    </w:p>
    <w:p>
      <w:pPr>
        <w:spacing w:after="0" w:line="310" w:lineRule="exact"/>
        <w:rPr>
          <w:rFonts w:ascii="Arial" w:cs="Arial" w:eastAsia="Arial" w:hAnsi="Arial"/>
          <w:sz w:val="15"/>
          <w:szCs w:val="15"/>
          <w:color w:val="auto"/>
        </w:rPr>
      </w:pPr>
    </w:p>
    <w:p>
      <w:pPr>
        <w:ind w:left="-9" w:right="480" w:firstLine="9"/>
        <w:spacing w:after="0" w:line="261" w:lineRule="auto"/>
        <w:tabs>
          <w:tab w:leader="none" w:pos="158" w:val="left"/>
        </w:tabs>
        <w:numPr>
          <w:ilvl w:val="0"/>
          <w:numId w:val="2"/>
        </w:numPr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Individual or Joint/Group Filing (Check Applicable Line)</w:t>
      </w:r>
    </w:p>
    <w:p>
      <w:pPr>
        <w:ind w:left="451" w:right="340"/>
        <w:spacing w:after="0" w:line="26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Form filed by One Reporting Person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ind w:left="451" w:right="320"/>
        <w:spacing w:after="0" w:line="26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Form filed by More than One Reporting Person</w:t>
      </w:r>
    </w:p>
    <w:p>
      <w:pPr>
        <w:spacing w:after="0" w:line="22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4277" w:space="720"/>
            <w:col w:w="3003" w:space="269"/>
            <w:col w:w="2671"/>
          </w:cols>
          <w:pgMar w:left="480" w:top="230" w:right="479" w:bottom="1440" w:gutter="0" w:footer="0" w:header="0"/>
          <w:type w:val="continuous"/>
        </w:sectPr>
      </w:pPr>
    </w:p>
    <w:p>
      <w:pPr>
        <w:spacing w:after="0" w:line="147" w:lineRule="exact"/>
        <w:rPr>
          <w:sz w:val="24"/>
          <w:szCs w:val="24"/>
          <w:color w:val="auto"/>
        </w:rPr>
      </w:pPr>
    </w:p>
    <w:p>
      <w:pPr>
        <w:ind w:left="140"/>
        <w:spacing w:after="0"/>
        <w:tabs>
          <w:tab w:leader="none" w:pos="1140" w:val="left"/>
          <w:tab w:leader="none" w:pos="21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(City)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(State)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(Zip)</w:t>
      </w:r>
    </w:p>
    <w:p>
      <w:pPr>
        <w:spacing w:after="0" w:line="216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b w:val="1"/>
          <w:bCs w:val="1"/>
          <w:color w:val="auto"/>
        </w:rPr>
        <w:t>Table I - Non-Derivative Securities Beneficially Owned</w:t>
      </w:r>
    </w:p>
    <w:p>
      <w:pPr>
        <w:spacing w:after="0" w:line="14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1. Title of Security (Instr. 4)</w:t>
            </w:r>
          </w:p>
        </w:tc>
        <w:tc>
          <w:tcPr>
            <w:tcW w:w="3400" w:type="dxa"/>
            <w:vAlign w:val="bottom"/>
          </w:tcPr>
          <w:p>
            <w:pPr>
              <w:ind w:left="1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2. Amount of Securities</w:t>
            </w: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3. Ownership</w:t>
            </w:r>
          </w:p>
        </w:tc>
        <w:tc>
          <w:tcPr>
            <w:tcW w:w="28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4. Nature of Indirect Beneficial</w:t>
            </w: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0" w:type="dxa"/>
            <w:vAlign w:val="bottom"/>
          </w:tcPr>
          <w:p>
            <w:pPr>
              <w:ind w:left="14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Beneficially Owned (Instr.</w:t>
            </w: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2880" w:type="dxa"/>
            <w:vAlign w:val="bottom"/>
            <w:gridSpan w:val="2"/>
          </w:tcPr>
          <w:p>
            <w:pPr>
              <w:ind w:left="10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 (Instr. 5)</w:t>
            </w: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0" w:type="dxa"/>
            <w:vAlign w:val="bottom"/>
          </w:tcPr>
          <w:p>
            <w:pPr>
              <w:ind w:left="14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4)</w:t>
            </w: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2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28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6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4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b w:val="1"/>
          <w:bCs w:val="1"/>
          <w:color w:val="auto"/>
        </w:rPr>
        <w:t>Table II - Derivative Securities Beneficially Owned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2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31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1. Title of Derivative Security (Instr. 4)</w:t>
            </w:r>
          </w:p>
        </w:tc>
        <w:tc>
          <w:tcPr>
            <w:tcW w:w="18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2. Date Exercisable and</w:t>
            </w:r>
          </w:p>
        </w:tc>
        <w:tc>
          <w:tcPr>
            <w:tcW w:w="25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3. Title and Amount of Securities</w:t>
            </w:r>
          </w:p>
        </w:tc>
        <w:tc>
          <w:tcPr>
            <w:tcW w:w="4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4.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5.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5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6.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2500" w:type="dxa"/>
            <w:vAlign w:val="bottom"/>
            <w:gridSpan w:val="2"/>
          </w:tcPr>
          <w:p>
            <w:pPr>
              <w:ind w:left="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Underlying Derivative Security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Indirect 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560" w:type="dxa"/>
            <w:vAlign w:val="bottom"/>
          </w:tcPr>
          <w:p>
            <w:pPr>
              <w:ind w:left="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Form: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 (Instr.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5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  <w:vMerge w:val="restart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Price of</w:t>
            </w:r>
          </w:p>
        </w:tc>
        <w:tc>
          <w:tcPr>
            <w:tcW w:w="940" w:type="dxa"/>
            <w:vAlign w:val="bottom"/>
            <w:gridSpan w:val="2"/>
            <w:vMerge w:val="restart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220" w:type="dxa"/>
            <w:vAlign w:val="bottom"/>
            <w:vMerge w:val="restart"/>
          </w:tcPr>
          <w:p>
            <w:pPr>
              <w:jc w:val="right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5)</w:t>
            </w:r>
          </w:p>
        </w:tc>
        <w:tc>
          <w:tcPr>
            <w:tcW w:w="12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Amount</w:t>
            </w:r>
          </w:p>
        </w:tc>
        <w:tc>
          <w:tcPr>
            <w:tcW w:w="9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0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80"/>
              <w:spacing w:after="0" w:line="1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 w:line="1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Number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Date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of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6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Date</w:t>
            </w:r>
          </w:p>
        </w:tc>
        <w:tc>
          <w:tcPr>
            <w:tcW w:w="1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Title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Shares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3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31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31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No securities are beneficially owned.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9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9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/s/ Lufeng Cheng</w:t>
            </w:r>
          </w:p>
        </w:tc>
        <w:tc>
          <w:tcPr>
            <w:tcW w:w="2440" w:type="dxa"/>
            <w:vAlign w:val="bottom"/>
            <w:gridSpan w:val="4"/>
          </w:tcPr>
          <w:p>
            <w:pPr>
              <w:jc w:val="right"/>
              <w:ind w:right="1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03/31/2026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3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68" w:lineRule="exact"/>
        <w:rPr>
          <w:sz w:val="24"/>
          <w:szCs w:val="24"/>
          <w:color w:val="auto"/>
        </w:rPr>
      </w:pPr>
    </w:p>
    <w:tbl>
      <w:tblPr>
        <w:tblLayout w:type="fixed"/>
        <w:tblInd w:w="4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8460" w:type="dxa"/>
            <w:vAlign w:val="bottom"/>
          </w:tcPr>
          <w:p>
            <w:pPr>
              <w:ind w:left="6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** Signature of Reporting</w:t>
            </w:r>
          </w:p>
        </w:tc>
        <w:tc>
          <w:tcPr>
            <w:tcW w:w="58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  <w:w w:val="94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8460" w:type="dxa"/>
            <w:vAlign w:val="bottom"/>
            <w:vMerge w:val="restart"/>
          </w:tcPr>
          <w:p>
            <w:pPr>
              <w:ind w:left="6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Person</w:t>
            </w: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84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8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8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5"/>
                <w:szCs w:val="15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 xml:space="preserve"> Instruction 5 (b)(v).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7" w:lineRule="exact"/>
        <w:rPr>
          <w:sz w:val="24"/>
          <w:szCs w:val="24"/>
          <w:color w:val="auto"/>
        </w:rPr>
      </w:pPr>
    </w:p>
    <w:p>
      <w:pPr>
        <w:jc w:val="both"/>
        <w:ind w:left="40" w:right="2240" w:firstLine="5"/>
        <w:spacing w:after="0" w:line="335" w:lineRule="auto"/>
        <w:tabs>
          <w:tab w:leader="none" w:pos="199" w:val="left"/>
        </w:tabs>
        <w:numPr>
          <w:ilvl w:val="0"/>
          <w:numId w:val="3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6 for procedure.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40" w:right="80"/>
        <w:spacing w:after="0" w:line="27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0940"/>
      </w:cols>
      <w:pgMar w:left="480" w:top="230" w:right="47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4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5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hyperlink" Target="http://www.sec.gov/cgi-bin/browse-edgar?action=getcompany&amp;CIK=0002124858" TargetMode="External"/><Relationship Id="rId11" Type="http://schemas.openxmlformats.org/officeDocument/2006/relationships/hyperlink" Target="http://www.sec.gov/cgi-bin/browse-edgar?action=getcompany&amp;CIK=000198513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2026-03-31T12:50:31Z</dcterms:created>
  <dcterms:modified xsi:type="dcterms:W3CDTF">2026-03-31T12:50:31Z</dcterms:modified>
</cp:coreProperties>
</file>